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黑体" w:cs="Arial"/>
          <w:b/>
          <w:sz w:val="24"/>
        </w:rPr>
      </w:pPr>
      <w:bookmarkStart w:id="0" w:name="_GoBack"/>
      <w:r>
        <w:rPr>
          <w:rFonts w:ascii="Arial" w:hAnsi="Arial" w:eastAsia="黑体" w:cs="Arial"/>
          <w:b/>
          <w:sz w:val="24"/>
        </w:rPr>
        <w:t>YANGTZE RIVER DELTA INTERNATIONAL EMERGENCY DISASTER REDUCTION &amp; RESCUE EXPO（EDRR）</w:t>
      </w:r>
    </w:p>
    <w:bookmarkEnd w:id="0"/>
    <w:p>
      <w:pPr>
        <w:jc w:val="center"/>
        <w:rPr>
          <w:rFonts w:ascii="Arial" w:hAnsi="Arial" w:eastAsia="黑体" w:cs="Arial"/>
          <w:b/>
          <w:sz w:val="24"/>
        </w:rPr>
      </w:pPr>
    </w:p>
    <w:p>
      <w:pPr>
        <w:spacing w:after="156" w:afterLines="50"/>
        <w:ind w:firstLine="480" w:firstLineChars="200"/>
        <w:rPr>
          <w:rFonts w:ascii="Arial" w:hAnsi="Arial" w:eastAsia="仿宋_GB2312" w:cs="Arial"/>
          <w:sz w:val="24"/>
        </w:rPr>
      </w:pPr>
      <w:r>
        <w:rPr>
          <w:rFonts w:ascii="Arial" w:hAnsi="Arial" w:eastAsia="仿宋_GB2312" w:cs="Arial"/>
          <w:sz w:val="24"/>
        </w:rPr>
        <w:t>Yangtze River Delta International Emergency Disaster Reduction &amp; Rescue Expo</w:t>
      </w:r>
      <w:r>
        <w:rPr>
          <w:rFonts w:ascii="Arial" w:hAnsi="Arial" w:eastAsia="黑体" w:cs="Arial"/>
          <w:sz w:val="24"/>
        </w:rPr>
        <w:t>（EDRR）</w:t>
      </w:r>
      <w:r>
        <w:rPr>
          <w:rFonts w:ascii="Arial" w:hAnsi="Arial" w:eastAsia="仿宋_GB2312" w:cs="Arial"/>
          <w:sz w:val="24"/>
        </w:rPr>
        <w:t xml:space="preserve">aims to promote the transformation and upgrading of the safety and emergency industry in China, to enhance the emergency prevention, mitigation and rescue capabilities, and to create a strong atmosphere for the whole society to participate in emergency response. </w:t>
      </w:r>
    </w:p>
    <w:p>
      <w:pPr>
        <w:spacing w:after="156" w:afterLines="50"/>
        <w:ind w:firstLine="480" w:firstLineChars="200"/>
        <w:rPr>
          <w:rFonts w:ascii="Arial" w:hAnsi="Arial" w:eastAsia="仿宋_GB2312" w:cs="Arial"/>
          <w:sz w:val="24"/>
        </w:rPr>
      </w:pPr>
      <w:r>
        <w:rPr>
          <w:rFonts w:ascii="Arial" w:hAnsi="Arial" w:eastAsia="仿宋_GB2312" w:cs="Arial"/>
          <w:sz w:val="24"/>
        </w:rPr>
        <w:t>A showcase that Chinese market is open and promises huge potential to the world, EDRR provides foreign businesses with access to market opportunities and facilitate exchanges between Chinese and foreign enterprises. EDRR creates a platform where exhibitors and visitors gather together, and offers various services in order to help them to develop their commercial opportunities. In addition, exhibitors will have access to government procurement opportunities arising from local procurement demands in larger quantities.</w:t>
      </w:r>
    </w:p>
    <w:p>
      <w:pPr>
        <w:widowControl/>
        <w:spacing w:after="156" w:afterLines="50"/>
        <w:ind w:firstLine="480" w:firstLineChars="200"/>
        <w:rPr>
          <w:rFonts w:ascii="Arial" w:hAnsi="Arial" w:eastAsia="仿宋_GB2312" w:cs="Arial"/>
          <w:sz w:val="24"/>
        </w:rPr>
      </w:pPr>
      <w:r>
        <w:rPr>
          <w:rFonts w:ascii="Arial" w:hAnsi="Arial" w:eastAsia="仿宋_GB2312" w:cs="Arial"/>
          <w:sz w:val="24"/>
        </w:rPr>
        <w:t>The 3</w:t>
      </w:r>
      <w:r>
        <w:rPr>
          <w:rFonts w:ascii="Arial" w:hAnsi="Arial" w:eastAsia="仿宋_GB2312" w:cs="Arial"/>
          <w:sz w:val="24"/>
          <w:vertAlign w:val="superscript"/>
        </w:rPr>
        <w:t>rd</w:t>
      </w:r>
      <w:r>
        <w:rPr>
          <w:rFonts w:ascii="Arial" w:hAnsi="Arial" w:eastAsia="仿宋_GB2312" w:cs="Arial"/>
          <w:sz w:val="24"/>
        </w:rPr>
        <w:t xml:space="preserve"> Yangtze River Delta International Emergency Disaster Reduction &amp; Rescue Expo will be held from May 13th to 15th, 2024 in Shanghai. The expo is government-led and market-oriented, presented in various forms, including exhibition, conference, activities and popularization of science.</w:t>
      </w:r>
    </w:p>
    <w:p>
      <w:pPr>
        <w:pStyle w:val="9"/>
        <w:numPr>
          <w:ilvl w:val="0"/>
          <w:numId w:val="1"/>
        </w:numPr>
        <w:spacing w:after="156" w:afterLines="50"/>
        <w:ind w:firstLine="0" w:firstLineChars="0"/>
        <w:rPr>
          <w:rFonts w:ascii="Arial" w:hAnsi="Arial" w:eastAsia="仿宋_GB2312" w:cs="Arial"/>
          <w:sz w:val="24"/>
        </w:rPr>
      </w:pPr>
      <w:r>
        <w:rPr>
          <w:rFonts w:ascii="Arial" w:hAnsi="Arial" w:eastAsia="黑体" w:cs="Arial"/>
          <w:sz w:val="24"/>
        </w:rPr>
        <w:t>EDRR</w:t>
      </w:r>
      <w:r>
        <w:rPr>
          <w:rFonts w:hint="eastAsia" w:ascii="Arial" w:hAnsi="Arial" w:eastAsia="黑体" w:cs="Arial"/>
          <w:sz w:val="24"/>
        </w:rPr>
        <w:t xml:space="preserve"> </w:t>
      </w:r>
      <w:r>
        <w:rPr>
          <w:rFonts w:ascii="Arial" w:hAnsi="Arial" w:eastAsia="黑体" w:cs="Arial"/>
          <w:sz w:val="24"/>
        </w:rPr>
        <w:t>General Information</w:t>
      </w:r>
    </w:p>
    <w:p>
      <w:pPr>
        <w:widowControl/>
        <w:spacing w:after="156" w:afterLines="50"/>
        <w:jc w:val="left"/>
        <w:rPr>
          <w:rFonts w:hint="default" w:ascii="Arial" w:hAnsi="Arial" w:eastAsia="仿宋_GB2312" w:cs="Arial"/>
          <w:sz w:val="24"/>
          <w:lang w:val="en-US" w:eastAsia="zh-CN"/>
        </w:rPr>
      </w:pPr>
      <w:r>
        <w:rPr>
          <w:rFonts w:hint="eastAsia" w:ascii="Arial" w:hAnsi="Arial" w:eastAsia="仿宋_GB2312" w:cs="Arial"/>
          <w:sz w:val="24"/>
          <w:lang w:val="en-US" w:eastAsia="zh-CN"/>
        </w:rPr>
        <w:t>Name: Yangtze River Delta Inbternational Emergency Disaster Reduction &amp; Rescue Expo (EDRR)</w:t>
      </w:r>
    </w:p>
    <w:p>
      <w:pPr>
        <w:widowControl/>
        <w:spacing w:after="156" w:afterLines="50"/>
        <w:jc w:val="left"/>
        <w:rPr>
          <w:rFonts w:hint="eastAsia" w:ascii="Arial" w:hAnsi="Arial" w:eastAsia="仿宋_GB2312" w:cs="Arial"/>
          <w:sz w:val="24"/>
          <w:lang w:val="en-US" w:eastAsia="zh-CN"/>
        </w:rPr>
      </w:pPr>
      <w:r>
        <w:rPr>
          <w:rFonts w:hint="eastAsia" w:ascii="Arial" w:hAnsi="Arial" w:eastAsia="仿宋_GB2312" w:cs="Arial"/>
          <w:sz w:val="24"/>
          <w:lang w:val="en-US" w:eastAsia="zh-CN"/>
        </w:rPr>
        <w:t>Date: May 13-15, 2024</w:t>
      </w:r>
    </w:p>
    <w:p>
      <w:pPr>
        <w:widowControl/>
        <w:spacing w:after="156" w:afterLines="50"/>
        <w:jc w:val="left"/>
        <w:rPr>
          <w:rFonts w:hint="eastAsia" w:ascii="Arial" w:hAnsi="Arial" w:eastAsia="仿宋_GB2312" w:cs="Arial"/>
          <w:sz w:val="24"/>
          <w:lang w:val="en-US" w:eastAsia="zh-CN"/>
        </w:rPr>
      </w:pPr>
      <w:r>
        <w:rPr>
          <w:rFonts w:hint="eastAsia" w:ascii="Arial" w:hAnsi="Arial" w:eastAsia="仿宋_GB2312" w:cs="Arial"/>
          <w:sz w:val="24"/>
          <w:lang w:val="en-US" w:eastAsia="zh-CN"/>
        </w:rPr>
        <w:t>Venue: National Exhibition and Convention Cener (NECC),Shanghai</w:t>
      </w:r>
    </w:p>
    <w:p>
      <w:pPr>
        <w:widowControl/>
        <w:spacing w:after="156" w:afterLines="50"/>
        <w:jc w:val="left"/>
        <w:rPr>
          <w:rFonts w:hint="eastAsia" w:ascii="Arial" w:hAnsi="Arial" w:eastAsia="仿宋_GB2312" w:cs="Arial"/>
          <w:sz w:val="24"/>
          <w:lang w:val="en-US" w:eastAsia="zh-CN"/>
        </w:rPr>
      </w:pPr>
      <w:r>
        <w:rPr>
          <w:rFonts w:hint="eastAsia" w:ascii="Arial" w:hAnsi="Arial" w:eastAsia="仿宋_GB2312" w:cs="Arial"/>
          <w:sz w:val="24"/>
          <w:lang w:val="en-US" w:eastAsia="zh-CN"/>
        </w:rPr>
        <w:t>Exhibition Area: 100,000 sqm</w:t>
      </w:r>
    </w:p>
    <w:p>
      <w:pPr>
        <w:widowControl/>
        <w:spacing w:after="156" w:afterLines="50"/>
        <w:jc w:val="left"/>
        <w:rPr>
          <w:rFonts w:hint="default" w:ascii="Arial" w:hAnsi="Arial" w:eastAsia="仿宋_GB2312" w:cs="Arial"/>
          <w:sz w:val="24"/>
          <w:lang w:val="en-US" w:eastAsia="zh-CN"/>
        </w:rPr>
      </w:pPr>
      <w:r>
        <w:rPr>
          <w:rFonts w:hint="eastAsia" w:ascii="Arial" w:hAnsi="Arial" w:eastAsia="仿宋_GB2312" w:cs="Arial"/>
          <w:sz w:val="24"/>
          <w:lang w:val="en-US" w:eastAsia="zh-CN"/>
        </w:rPr>
        <w:t>Website: www.edrr-expo.com</w:t>
      </w:r>
    </w:p>
    <w:p>
      <w:pPr>
        <w:pStyle w:val="9"/>
        <w:numPr>
          <w:ilvl w:val="0"/>
          <w:numId w:val="1"/>
        </w:numPr>
        <w:spacing w:after="156" w:afterLines="50"/>
        <w:ind w:firstLine="0" w:firstLineChars="0"/>
        <w:rPr>
          <w:rFonts w:ascii="Arial" w:hAnsi="Arial" w:eastAsia="黑体" w:cs="Arial"/>
          <w:sz w:val="24"/>
        </w:rPr>
      </w:pPr>
      <w:r>
        <w:rPr>
          <w:rFonts w:ascii="Arial" w:hAnsi="Arial" w:eastAsia="黑体" w:cs="Arial"/>
          <w:sz w:val="24"/>
        </w:rPr>
        <w:t>Organizational Structure</w:t>
      </w:r>
    </w:p>
    <w:p>
      <w:pPr>
        <w:widowControl/>
        <w:spacing w:after="156" w:afterLines="50"/>
        <w:jc w:val="left"/>
        <w:rPr>
          <w:rFonts w:ascii="Arial" w:hAnsi="Arial" w:eastAsia="仿宋_GB2312" w:cs="Arial"/>
          <w:sz w:val="24"/>
        </w:rPr>
      </w:pPr>
      <w:r>
        <w:rPr>
          <w:rFonts w:ascii="Arial" w:hAnsi="Arial" w:eastAsia="仿宋_GB2312" w:cs="Arial"/>
          <w:sz w:val="24"/>
        </w:rPr>
        <w:t>Hosted by</w:t>
      </w:r>
      <w:r>
        <w:rPr>
          <w:rFonts w:hint="eastAsia" w:ascii="Arial" w:hAnsi="Arial" w:eastAsia="仿宋_GB2312" w:cs="Arial"/>
          <w:sz w:val="24"/>
        </w:rPr>
        <w:t>:</w:t>
      </w:r>
    </w:p>
    <w:p>
      <w:pPr>
        <w:widowControl/>
        <w:spacing w:after="156" w:afterLines="50"/>
        <w:jc w:val="left"/>
        <w:rPr>
          <w:rFonts w:ascii="Arial" w:hAnsi="Arial" w:eastAsia="仿宋_GB2312" w:cs="Arial"/>
          <w:sz w:val="24"/>
        </w:rPr>
      </w:pPr>
      <w:r>
        <w:fldChar w:fldCharType="begin"/>
      </w:r>
      <w:r>
        <w:instrText xml:space="preserve"> HYPERLINK "https://yjglj.sh.gov.cn/" \t "/Users/daxiaohezi/Documents\x/_self" </w:instrText>
      </w:r>
      <w:r>
        <w:fldChar w:fldCharType="separate"/>
      </w:r>
      <w:r>
        <w:rPr>
          <w:rFonts w:ascii="Arial" w:hAnsi="Arial" w:eastAsia="仿宋_GB2312" w:cs="Arial"/>
          <w:sz w:val="24"/>
        </w:rPr>
        <w:t>Shangha</w:t>
      </w:r>
      <w:r>
        <w:rPr>
          <w:rFonts w:hint="eastAsia" w:ascii="Arial" w:hAnsi="Arial" w:eastAsia="仿宋_GB2312" w:cs="Arial"/>
          <w:sz w:val="24"/>
        </w:rPr>
        <w:t>i</w:t>
      </w:r>
      <w:r>
        <w:rPr>
          <w:rFonts w:hint="eastAsia" w:ascii="Arial" w:hAnsi="Arial" w:eastAsia="仿宋_GB2312" w:cs="Arial"/>
          <w:sz w:val="24"/>
        </w:rPr>
        <w:fldChar w:fldCharType="end"/>
      </w:r>
      <w:r>
        <w:rPr>
          <w:rFonts w:hint="eastAsia" w:ascii="Arial" w:hAnsi="Arial" w:eastAsia="仿宋_GB2312" w:cs="Arial"/>
          <w:sz w:val="24"/>
        </w:rPr>
        <w:t xml:space="preserve"> Municipal Emergency Management Bureau</w:t>
      </w:r>
    </w:p>
    <w:p>
      <w:pPr>
        <w:widowControl/>
        <w:spacing w:after="156" w:afterLines="50"/>
        <w:jc w:val="left"/>
        <w:rPr>
          <w:rFonts w:ascii="Arial" w:hAnsi="Arial" w:eastAsia="仿宋_GB2312" w:cs="Arial"/>
          <w:sz w:val="24"/>
        </w:rPr>
      </w:pPr>
      <w:r>
        <w:fldChar w:fldCharType="begin"/>
      </w:r>
      <w:r>
        <w:instrText xml:space="preserve"> HYPERLINK "http://ajj.jiangsu.gov.cn/" \t "/Users/daxiaohezi/Documents\x/_self" </w:instrText>
      </w:r>
      <w:r>
        <w:fldChar w:fldCharType="separate"/>
      </w:r>
      <w:r>
        <w:rPr>
          <w:rFonts w:ascii="Arial" w:hAnsi="Arial" w:eastAsia="仿宋_GB2312" w:cs="Arial"/>
          <w:sz w:val="24"/>
        </w:rPr>
        <w:t>Jiangsu Provincial Department of Emergency Management </w:t>
      </w:r>
      <w:r>
        <w:rPr>
          <w:rFonts w:ascii="Arial" w:hAnsi="Arial" w:eastAsia="仿宋_GB2312" w:cs="Arial"/>
          <w:sz w:val="24"/>
        </w:rPr>
        <w:fldChar w:fldCharType="end"/>
      </w:r>
    </w:p>
    <w:p>
      <w:pPr>
        <w:widowControl/>
        <w:spacing w:after="156" w:afterLines="50"/>
        <w:jc w:val="left"/>
        <w:rPr>
          <w:rFonts w:ascii="Arial" w:hAnsi="Arial" w:eastAsia="仿宋_GB2312" w:cs="Arial"/>
          <w:sz w:val="24"/>
        </w:rPr>
      </w:pPr>
      <w:r>
        <w:fldChar w:fldCharType="begin"/>
      </w:r>
      <w:r>
        <w:instrText xml:space="preserve"> HYPERLINK "http://yjt.zj.gov.cn/" \t "/Users/daxiaohezi/Documents\x/_self" </w:instrText>
      </w:r>
      <w:r>
        <w:fldChar w:fldCharType="separate"/>
      </w:r>
      <w:r>
        <w:rPr>
          <w:rFonts w:ascii="Arial" w:hAnsi="Arial" w:eastAsia="仿宋_GB2312" w:cs="Arial"/>
          <w:sz w:val="24"/>
        </w:rPr>
        <w:t>Zhejiang Provincial Department of Emergency Management</w:t>
      </w:r>
      <w:r>
        <w:rPr>
          <w:rFonts w:ascii="Arial" w:hAnsi="Arial" w:eastAsia="仿宋_GB2312" w:cs="Arial"/>
          <w:sz w:val="24"/>
        </w:rPr>
        <w:fldChar w:fldCharType="end"/>
      </w:r>
    </w:p>
    <w:p>
      <w:pPr>
        <w:widowControl/>
        <w:spacing w:after="156" w:afterLines="50"/>
        <w:jc w:val="left"/>
        <w:rPr>
          <w:rFonts w:ascii="Arial" w:hAnsi="Arial" w:eastAsia="仿宋_GB2312" w:cs="Arial"/>
          <w:sz w:val="24"/>
        </w:rPr>
      </w:pPr>
      <w:r>
        <w:fldChar w:fldCharType="begin"/>
      </w:r>
      <w:r>
        <w:instrText xml:space="preserve"> HYPERLINK "http://yjt.ah.gov.cn/" \t "/Users/daxiaohezi/Documents\x/_self" </w:instrText>
      </w:r>
      <w:r>
        <w:fldChar w:fldCharType="separate"/>
      </w:r>
      <w:r>
        <w:rPr>
          <w:rFonts w:ascii="Arial" w:hAnsi="Arial" w:eastAsia="仿宋_GB2312" w:cs="Arial"/>
          <w:sz w:val="24"/>
        </w:rPr>
        <w:t>Anhui Provincial Department of Emergency Management</w:t>
      </w:r>
      <w:r>
        <w:rPr>
          <w:rFonts w:ascii="Arial" w:hAnsi="Arial" w:eastAsia="仿宋_GB2312" w:cs="Arial"/>
          <w:sz w:val="24"/>
        </w:rPr>
        <w:fldChar w:fldCharType="end"/>
      </w:r>
    </w:p>
    <w:p>
      <w:pPr>
        <w:widowControl/>
        <w:spacing w:after="156" w:afterLines="50"/>
        <w:jc w:val="left"/>
        <w:rPr>
          <w:rFonts w:hint="default" w:ascii="Arial" w:hAnsi="Arial" w:eastAsia="仿宋_GB2312" w:cs="Arial"/>
          <w:sz w:val="24"/>
          <w:lang w:val="en-US" w:eastAsia="zh-CN"/>
        </w:rPr>
      </w:pPr>
      <w:r>
        <w:rPr>
          <w:rFonts w:hint="eastAsia" w:ascii="Arial" w:hAnsi="Arial" w:eastAsia="仿宋_GB2312" w:cs="Arial"/>
          <w:sz w:val="24"/>
          <w:lang w:val="en-US" w:eastAsia="zh-CN"/>
        </w:rPr>
        <w:t xml:space="preserve">Council for the Promotion </w:t>
      </w:r>
      <w:r>
        <w:rPr>
          <w:rFonts w:hint="default" w:ascii="Arial" w:hAnsi="Arial" w:eastAsia="仿宋_GB2312" w:cs="Arial"/>
          <w:sz w:val="24"/>
          <w:lang w:val="en-US" w:eastAsia="zh-CN"/>
        </w:rPr>
        <w:t>of International Trade Shanghai (CCPIT Shanghai)</w:t>
      </w:r>
    </w:p>
    <w:p>
      <w:pPr>
        <w:widowControl/>
        <w:spacing w:after="156" w:afterLines="50"/>
        <w:jc w:val="left"/>
        <w:rPr>
          <w:rFonts w:ascii="Arial" w:hAnsi="Arial" w:eastAsia="仿宋_GB2312" w:cs="Arial"/>
          <w:sz w:val="24"/>
        </w:rPr>
      </w:pPr>
      <w:r>
        <w:rPr>
          <w:rFonts w:ascii="Arial" w:hAnsi="Arial" w:eastAsia="仿宋_GB2312" w:cs="Arial"/>
          <w:sz w:val="24"/>
        </w:rPr>
        <w:t>Support by:</w:t>
      </w:r>
    </w:p>
    <w:p>
      <w:pPr>
        <w:widowControl/>
        <w:spacing w:after="156" w:afterLines="50"/>
        <w:jc w:val="left"/>
        <w:rPr>
          <w:rFonts w:ascii="Arial" w:hAnsi="Arial" w:eastAsia="仿宋_GB2312" w:cs="Arial"/>
          <w:sz w:val="24"/>
        </w:rPr>
      </w:pPr>
      <w:r>
        <w:rPr>
          <w:rFonts w:ascii="Arial" w:hAnsi="Arial" w:eastAsia="仿宋_GB2312" w:cs="Arial"/>
          <w:sz w:val="24"/>
        </w:rPr>
        <w:t>Cooperation Office of the YRD Region</w:t>
      </w:r>
    </w:p>
    <w:p>
      <w:pPr>
        <w:pStyle w:val="9"/>
        <w:numPr>
          <w:ilvl w:val="0"/>
          <w:numId w:val="1"/>
        </w:numPr>
        <w:spacing w:after="156" w:afterLines="50"/>
        <w:ind w:firstLine="0" w:firstLineChars="0"/>
        <w:rPr>
          <w:rFonts w:ascii="Arial" w:hAnsi="Arial" w:eastAsia="黑体" w:cs="Arial"/>
          <w:sz w:val="24"/>
        </w:rPr>
      </w:pPr>
      <w:r>
        <w:rPr>
          <w:rFonts w:ascii="Arial" w:hAnsi="Arial" w:eastAsia="仿宋_GB2312" w:cs="Arial"/>
          <w:sz w:val="24"/>
        </w:rPr>
        <w:t>Exhibits</w:t>
      </w:r>
      <w:r>
        <w:rPr>
          <w:rFonts w:hint="eastAsia" w:ascii="Arial" w:hAnsi="Arial" w:eastAsia="仿宋_GB2312" w:cs="Arial"/>
          <w:sz w:val="24"/>
        </w:rPr>
        <w:t xml:space="preserve"> Profile</w:t>
      </w:r>
    </w:p>
    <w:p>
      <w:pPr>
        <w:widowControl/>
        <w:spacing w:after="156" w:afterLines="50"/>
        <w:jc w:val="left"/>
        <w:rPr>
          <w:rFonts w:ascii="Arial" w:hAnsi="Arial" w:eastAsia="黑体" w:cs="Arial"/>
          <w:sz w:val="24"/>
        </w:rPr>
      </w:pPr>
      <w:r>
        <w:rPr>
          <w:rFonts w:ascii="宋体" w:hAnsi="宋体" w:eastAsia="宋体" w:cs="宋体"/>
          <w:sz w:val="24"/>
        </w:rPr>
        <w:t>①</w:t>
      </w:r>
      <w:r>
        <w:rPr>
          <w:rFonts w:ascii="Arial" w:hAnsi="Arial" w:eastAsia="仿宋_GB2312" w:cs="Arial"/>
          <w:sz w:val="24"/>
          <w:szCs w:val="28"/>
        </w:rPr>
        <w:t>Emergency</w:t>
      </w:r>
      <w:r>
        <w:rPr>
          <w:rFonts w:hint="eastAsia" w:ascii="Arial" w:hAnsi="Arial" w:eastAsia="仿宋_GB2312" w:cs="Arial"/>
          <w:sz w:val="24"/>
          <w:szCs w:val="28"/>
        </w:rPr>
        <w:t xml:space="preserve"> </w:t>
      </w:r>
      <w:r>
        <w:rPr>
          <w:rFonts w:ascii="Arial" w:hAnsi="Arial" w:eastAsia="仿宋_GB2312" w:cs="Arial"/>
          <w:sz w:val="24"/>
          <w:szCs w:val="28"/>
        </w:rPr>
        <w:t>prevention and mitigation</w:t>
      </w:r>
      <w:r>
        <w:rPr>
          <w:rFonts w:hint="eastAsia" w:ascii="Arial" w:hAnsi="Arial" w:eastAsia="仿宋_GB2312" w:cs="Arial"/>
          <w:sz w:val="24"/>
          <w:szCs w:val="28"/>
        </w:rPr>
        <w:t xml:space="preserve">, </w:t>
      </w:r>
      <w:r>
        <w:rPr>
          <w:rFonts w:hint="eastAsia" w:ascii="宋体" w:hAnsi="宋体" w:eastAsia="宋体" w:cs="宋体"/>
          <w:sz w:val="24"/>
        </w:rPr>
        <w:t>②</w:t>
      </w:r>
      <w:r>
        <w:rPr>
          <w:rFonts w:ascii="Arial" w:hAnsi="Arial" w:eastAsia="仿宋_GB2312" w:cs="Arial"/>
          <w:sz w:val="24"/>
        </w:rPr>
        <w:t>Emergency rescue equipment</w:t>
      </w:r>
      <w:r>
        <w:rPr>
          <w:rFonts w:hint="eastAsia" w:ascii="Arial" w:hAnsi="Arial" w:eastAsia="仿宋_GB2312" w:cs="Arial"/>
          <w:sz w:val="24"/>
        </w:rPr>
        <w:t xml:space="preserve">,  </w:t>
      </w:r>
      <w:r>
        <w:rPr>
          <w:rFonts w:hint="eastAsia" w:ascii="宋体" w:hAnsi="宋体" w:eastAsia="宋体" w:cs="宋体"/>
          <w:sz w:val="24"/>
        </w:rPr>
        <w:t>③</w:t>
      </w:r>
      <w:r>
        <w:rPr>
          <w:rFonts w:ascii="Arial" w:hAnsi="Arial" w:eastAsia="仿宋_GB2312" w:cs="Arial"/>
          <w:sz w:val="24"/>
        </w:rPr>
        <w:t>Protective equipment</w:t>
      </w:r>
      <w:r>
        <w:rPr>
          <w:rFonts w:hint="eastAsia" w:ascii="Arial" w:hAnsi="Arial" w:eastAsia="仿宋_GB2312" w:cs="Arial"/>
          <w:sz w:val="24"/>
        </w:rPr>
        <w:t xml:space="preserve">, </w:t>
      </w:r>
      <w:r>
        <w:rPr>
          <w:rFonts w:hint="eastAsia" w:ascii="宋体" w:hAnsi="宋体" w:eastAsia="宋体" w:cs="宋体"/>
          <w:sz w:val="24"/>
        </w:rPr>
        <w:t>④</w:t>
      </w:r>
      <w:r>
        <w:rPr>
          <w:rFonts w:ascii="Arial" w:hAnsi="Arial" w:eastAsia="仿宋_GB2312" w:cs="Arial"/>
          <w:sz w:val="24"/>
        </w:rPr>
        <w:t>Emergency-related services</w:t>
      </w:r>
      <w:r>
        <w:rPr>
          <w:rFonts w:hint="eastAsia" w:ascii="Arial" w:hAnsi="Arial" w:eastAsia="仿宋_GB2312" w:cs="Arial"/>
          <w:sz w:val="24"/>
        </w:rPr>
        <w:t xml:space="preserve">, </w:t>
      </w:r>
      <w:r>
        <w:rPr>
          <w:rFonts w:hint="eastAsia" w:ascii="宋体" w:hAnsi="宋体" w:eastAsia="宋体" w:cs="宋体"/>
          <w:sz w:val="24"/>
        </w:rPr>
        <w:t>⑤</w:t>
      </w:r>
      <w:r>
        <w:rPr>
          <w:rFonts w:ascii="Arial" w:hAnsi="Arial" w:eastAsia="仿宋_GB2312" w:cs="Arial"/>
          <w:sz w:val="24"/>
        </w:rPr>
        <w:t>Popular science demonstration</w:t>
      </w:r>
      <w:r>
        <w:rPr>
          <w:rFonts w:hint="eastAsia" w:ascii="Arial" w:hAnsi="Arial" w:eastAsia="仿宋_GB2312" w:cs="Arial"/>
          <w:sz w:val="24"/>
        </w:rPr>
        <w:t xml:space="preserve">, </w:t>
      </w:r>
      <w:r>
        <w:rPr>
          <w:rFonts w:hint="eastAsia" w:ascii="宋体" w:hAnsi="宋体" w:eastAsia="宋体" w:cs="宋体"/>
          <w:sz w:val="24"/>
        </w:rPr>
        <w:t>⑥</w:t>
      </w:r>
      <w:r>
        <w:rPr>
          <w:rFonts w:ascii="Arial" w:hAnsi="Arial" w:eastAsia="仿宋_GB2312" w:cs="Arial"/>
          <w:sz w:val="24"/>
        </w:rPr>
        <w:t>Achievements in emergency management of the YRD Region</w:t>
      </w:r>
    </w:p>
    <w:p>
      <w:pPr>
        <w:pStyle w:val="9"/>
        <w:numPr>
          <w:ilvl w:val="0"/>
          <w:numId w:val="1"/>
        </w:numPr>
        <w:spacing w:after="156" w:afterLines="50"/>
        <w:ind w:firstLine="0" w:firstLineChars="0"/>
        <w:rPr>
          <w:rFonts w:ascii="Arial" w:hAnsi="Arial" w:eastAsia="仿宋_GB2312" w:cs="Arial"/>
          <w:bCs/>
          <w:sz w:val="24"/>
        </w:rPr>
      </w:pPr>
      <w:r>
        <w:rPr>
          <w:rFonts w:ascii="Arial" w:hAnsi="Arial" w:eastAsia="黑体" w:cs="Arial"/>
          <w:sz w:val="24"/>
        </w:rPr>
        <w:t>EDRR 2023</w:t>
      </w:r>
      <w:r>
        <w:rPr>
          <w:rFonts w:hint="eastAsia" w:ascii="Arial" w:hAnsi="Arial" w:eastAsia="黑体" w:cs="Arial"/>
          <w:sz w:val="24"/>
        </w:rPr>
        <w:t xml:space="preserve"> </w:t>
      </w:r>
      <w:r>
        <w:rPr>
          <w:rFonts w:ascii="Arial" w:hAnsi="Arial" w:eastAsia="黑体" w:cs="Arial"/>
          <w:sz w:val="24"/>
        </w:rPr>
        <w:t>Review</w:t>
      </w:r>
    </w:p>
    <w:p>
      <w:pPr>
        <w:pStyle w:val="9"/>
        <w:numPr>
          <w:ilvl w:val="0"/>
          <w:numId w:val="0"/>
        </w:numPr>
        <w:spacing w:after="156" w:afterLines="50"/>
        <w:ind w:firstLine="480" w:firstLineChars="200"/>
        <w:rPr>
          <w:rFonts w:ascii="Arial" w:hAnsi="Arial" w:eastAsia="仿宋_GB2312" w:cs="Arial"/>
          <w:bCs/>
          <w:sz w:val="24"/>
        </w:rPr>
      </w:pPr>
      <w:r>
        <w:rPr>
          <w:rFonts w:hint="default" w:ascii="Arial" w:hAnsi="Arial" w:eastAsia="黑体" w:cs="Arial"/>
          <w:sz w:val="24"/>
          <w:lang w:val="en-US"/>
        </w:rPr>
        <w:t xml:space="preserve">Yangtze River Delta International Emergency Disaster Reduction &amp; Rescue Expo (EDRR 2023) was successfully conculded on May 8-10, 2023 at the </w:t>
      </w:r>
      <w:r>
        <w:rPr>
          <w:rFonts w:ascii="Arial" w:hAnsi="Arial" w:eastAsia="仿宋_GB2312" w:cs="Arial"/>
          <w:bCs/>
          <w:sz w:val="24"/>
        </w:rPr>
        <w:t>National Exhibition and Convention Center (Shanghai). A total of 615 representative enterprises in the field of emergency and safety industry participated in the expo, bringing together the industry's head enterprises and key enterprises in various fields, with an exhibition area of 80,000 square meters. There were a total of 81,612 visitors during the three days of the exhibition, bringing full energy of the safety and emergency industry.</w:t>
      </w:r>
    </w:p>
    <w:p>
      <w:pPr>
        <w:pStyle w:val="9"/>
        <w:numPr>
          <w:ilvl w:val="0"/>
          <w:numId w:val="0"/>
        </w:numPr>
        <w:spacing w:after="156" w:afterLines="50"/>
        <w:ind w:firstLine="480" w:firstLineChars="200"/>
        <w:rPr>
          <w:rFonts w:ascii="Arial" w:hAnsi="Arial" w:eastAsia="仿宋_GB2312" w:cs="Arial"/>
          <w:bCs/>
          <w:sz w:val="24"/>
        </w:rPr>
      </w:pPr>
      <w:r>
        <w:rPr>
          <w:rFonts w:ascii="Arial" w:hAnsi="Arial" w:eastAsia="仿宋_GB2312" w:cs="Arial"/>
          <w:bCs/>
          <w:sz w:val="24"/>
        </w:rPr>
        <w:t>The exhibition site held 17 conferences and forums and more than 60 enterprise promotion activities. The forum topics covering building safety, nuclear and radiation safety, intellectual property rights, emergency communications, smart city, flood drainage, chemical safety, fire rescue, etc.</w:t>
      </w:r>
    </w:p>
    <w:p>
      <w:pPr>
        <w:pStyle w:val="9"/>
        <w:numPr>
          <w:ilvl w:val="0"/>
          <w:numId w:val="1"/>
        </w:numPr>
        <w:spacing w:after="156" w:afterLines="50"/>
        <w:ind w:firstLine="0" w:firstLineChars="0"/>
        <w:rPr>
          <w:rFonts w:ascii="Arial" w:hAnsi="Arial" w:eastAsia="黑体" w:cs="Arial"/>
          <w:sz w:val="24"/>
        </w:rPr>
      </w:pPr>
      <w:r>
        <w:rPr>
          <w:rFonts w:ascii="Arial" w:hAnsi="Arial" w:eastAsia="黑体" w:cs="Arial"/>
          <w:sz w:val="24"/>
        </w:rPr>
        <w:t>Contact</w:t>
      </w:r>
      <w:r>
        <w:rPr>
          <w:rFonts w:hint="eastAsia" w:ascii="Arial" w:hAnsi="Arial" w:eastAsia="黑体" w:cs="Arial"/>
          <w:sz w:val="24"/>
        </w:rPr>
        <w:t xml:space="preserve"> Organizer</w:t>
      </w:r>
      <w:r>
        <w:rPr>
          <w:rFonts w:ascii="Arial" w:hAnsi="Arial" w:eastAsia="黑体" w:cs="Arial"/>
          <w:sz w:val="24"/>
        </w:rPr>
        <w:t>：</w:t>
      </w:r>
    </w:p>
    <w:p>
      <w:pPr>
        <w:widowControl/>
        <w:ind w:firstLine="480" w:firstLineChars="200"/>
        <w:rPr>
          <w:rFonts w:ascii="Arial" w:hAnsi="Arial" w:eastAsia="仿宋_GB2312" w:cs="Arial"/>
          <w:bCs/>
          <w:sz w:val="24"/>
        </w:rPr>
      </w:pPr>
      <w:r>
        <w:rPr>
          <w:rFonts w:ascii="Arial" w:hAnsi="Arial" w:eastAsia="仿宋_GB2312" w:cs="Arial"/>
          <w:bCs/>
          <w:sz w:val="24"/>
        </w:rPr>
        <w:t>CCPIT</w:t>
      </w:r>
      <w:r>
        <w:rPr>
          <w:rFonts w:hint="eastAsia" w:ascii="Arial" w:hAnsi="Arial" w:eastAsia="仿宋_GB2312" w:cs="Arial"/>
          <w:bCs/>
          <w:sz w:val="24"/>
        </w:rPr>
        <w:t xml:space="preserve"> Shanghai</w:t>
      </w:r>
    </w:p>
    <w:p>
      <w:pPr>
        <w:widowControl/>
        <w:ind w:firstLine="480" w:firstLineChars="200"/>
        <w:rPr>
          <w:rFonts w:ascii="Arial" w:hAnsi="Arial" w:eastAsia="仿宋_GB2312" w:cs="Arial"/>
          <w:bCs/>
          <w:sz w:val="24"/>
        </w:rPr>
      </w:pPr>
      <w:r>
        <w:rPr>
          <w:rFonts w:ascii="Arial" w:hAnsi="Arial" w:eastAsia="仿宋_GB2312" w:cs="Arial"/>
          <w:bCs/>
          <w:sz w:val="24"/>
        </w:rPr>
        <w:t xml:space="preserve">Tony Chen +8613801679270 </w:t>
      </w:r>
    </w:p>
    <w:p>
      <w:pPr>
        <w:widowControl/>
        <w:ind w:firstLine="480" w:firstLineChars="200"/>
        <w:rPr>
          <w:rFonts w:ascii="Arial" w:hAnsi="Arial" w:eastAsia="仿宋_GB2312" w:cs="Arial"/>
          <w:bCs/>
          <w:sz w:val="24"/>
        </w:rPr>
      </w:pPr>
      <w:r>
        <w:rPr>
          <w:rFonts w:ascii="Arial" w:hAnsi="Arial" w:eastAsia="仿宋_GB2312" w:cs="Arial"/>
          <w:bCs/>
          <w:sz w:val="24"/>
        </w:rPr>
        <w:t xml:space="preserve">Cathy Gu +8618117219772 </w:t>
      </w:r>
    </w:p>
    <w:p>
      <w:pPr>
        <w:widowControl/>
        <w:ind w:firstLine="480" w:firstLineChars="200"/>
        <w:rPr>
          <w:rFonts w:hint="default" w:ascii="Arial" w:hAnsi="Arial" w:eastAsia="仿宋_GB2312" w:cs="Arial"/>
          <w:bCs/>
          <w:sz w:val="24"/>
          <w:lang w:val="en-US"/>
        </w:rPr>
      </w:pPr>
      <w:r>
        <w:rPr>
          <w:rFonts w:hint="default" w:ascii="Arial" w:hAnsi="Arial" w:eastAsia="仿宋_GB2312" w:cs="Arial"/>
          <w:bCs/>
          <w:sz w:val="24"/>
          <w:lang w:val="en-US"/>
        </w:rPr>
        <w:t xml:space="preserve">Email: </w:t>
      </w:r>
      <w:r>
        <w:rPr>
          <w:rFonts w:hint="default" w:ascii="Arial" w:hAnsi="Arial" w:eastAsia="仿宋_GB2312" w:cs="Arial"/>
          <w:bCs/>
          <w:color w:val="auto"/>
          <w:sz w:val="24"/>
          <w:u w:val="none"/>
          <w:lang w:val="en-US"/>
        </w:rPr>
        <w:t>expo@cpitsh.org</w:t>
      </w:r>
    </w:p>
    <w:p>
      <w:pPr>
        <w:widowControl/>
        <w:ind w:firstLine="480" w:firstLineChars="200"/>
        <w:rPr>
          <w:rFonts w:ascii="Arial" w:hAnsi="Arial" w:eastAsia="仿宋_GB2312" w:cs="Arial"/>
          <w:bCs/>
          <w:sz w:val="24"/>
        </w:rPr>
      </w:pPr>
      <w:r>
        <w:rPr>
          <w:rFonts w:hint="default" w:ascii="Arial" w:hAnsi="Arial" w:eastAsia="仿宋_GB2312" w:cs="Arial"/>
          <w:bCs/>
          <w:sz w:val="24"/>
          <w:lang w:val="en-US"/>
        </w:rPr>
        <w:t>Website: www.edrr-expo.com</w:t>
      </w:r>
      <w:r>
        <w:rPr>
          <w:rFonts w:ascii="Arial" w:hAnsi="Arial" w:eastAsia="仿宋_GB2312" w:cs="Arial"/>
          <w:sz w:val="24"/>
          <w:szCs w:val="28"/>
        </w:rPr>
        <w:drawing>
          <wp:anchor distT="0" distB="0" distL="114300" distR="114300" simplePos="0" relativeHeight="251659264" behindDoc="0" locked="0" layoutInCell="1" allowOverlap="1">
            <wp:simplePos x="0" y="0"/>
            <wp:positionH relativeFrom="column">
              <wp:posOffset>267970</wp:posOffset>
            </wp:positionH>
            <wp:positionV relativeFrom="paragraph">
              <wp:posOffset>300990</wp:posOffset>
            </wp:positionV>
            <wp:extent cx="1062355" cy="1274445"/>
            <wp:effectExtent l="0" t="0" r="4445" b="1905"/>
            <wp:wrapSquare wrapText="bothSides"/>
            <wp:docPr id="16" name="图片 1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3"/>
                    <pic:cNvPicPr>
                      <a:picLocks noChangeAspect="1"/>
                    </pic:cNvPicPr>
                  </pic:nvPicPr>
                  <pic:blipFill>
                    <a:blip r:embed="rId4"/>
                    <a:stretch>
                      <a:fillRect/>
                    </a:stretch>
                  </pic:blipFill>
                  <pic:spPr>
                    <a:xfrm>
                      <a:off x="0" y="0"/>
                      <a:ext cx="1062355" cy="127444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19318AF-B602-424E-902A-3BB45BE13CDA}"/>
  </w:font>
  <w:font w:name="黑体">
    <w:panose1 w:val="02010609060101010101"/>
    <w:charset w:val="86"/>
    <w:family w:val="auto"/>
    <w:pitch w:val="default"/>
    <w:sig w:usb0="800002BF" w:usb1="38CF7CFA" w:usb2="00000016" w:usb3="00000000" w:csb0="00040001" w:csb1="00000000"/>
    <w:embedRegular r:id="rId2" w:fontKey="{AF4F0F5C-6A1E-417D-85A3-EAFD890AE0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83D36858-F733-4973-9B36-112D0AC8B32E}"/>
  </w:font>
  <w:font w:name="Times New Roman Bold">
    <w:altName w:val="Times New Roman"/>
    <w:panose1 w:val="02020603050405020304"/>
    <w:charset w:val="00"/>
    <w:family w:val="auto"/>
    <w:pitch w:val="default"/>
    <w:sig w:usb0="00000000" w:usb1="00000000"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1FF204"/>
    <w:multiLevelType w:val="singleLevel"/>
    <w:tmpl w:val="FE1FF204"/>
    <w:lvl w:ilvl="0" w:tentative="0">
      <w:start w:val="1"/>
      <w:numFmt w:val="decimal"/>
      <w:suff w:val="space"/>
      <w:lvlText w:val="%1."/>
      <w:lvlJc w:val="left"/>
      <w:rPr>
        <w:rFonts w:hint="default" w:ascii="Times New Roman Bold" w:hAnsi="Times New Roman Bold" w:cs="Times New Roman Bold"/>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NzczN2EzOTVlNWIzZjRhMGE2YThlYmM4MTM0NzAifQ=="/>
  </w:docVars>
  <w:rsids>
    <w:rsidRoot w:val="0F37620B"/>
    <w:rsid w:val="001C339C"/>
    <w:rsid w:val="001E7A6F"/>
    <w:rsid w:val="002A6C3C"/>
    <w:rsid w:val="004D14B8"/>
    <w:rsid w:val="00515B86"/>
    <w:rsid w:val="0056226F"/>
    <w:rsid w:val="007B1D3A"/>
    <w:rsid w:val="008B7CEA"/>
    <w:rsid w:val="00D11E4C"/>
    <w:rsid w:val="00D77CEF"/>
    <w:rsid w:val="00EC6B1F"/>
    <w:rsid w:val="00F60060"/>
    <w:rsid w:val="0AB773E5"/>
    <w:rsid w:val="0C595A0B"/>
    <w:rsid w:val="0C6B7FB8"/>
    <w:rsid w:val="0EAD584E"/>
    <w:rsid w:val="0F37620B"/>
    <w:rsid w:val="138E05AD"/>
    <w:rsid w:val="17B36E41"/>
    <w:rsid w:val="26B83EFA"/>
    <w:rsid w:val="2D381BD7"/>
    <w:rsid w:val="2F0F131F"/>
    <w:rsid w:val="37723974"/>
    <w:rsid w:val="3B516162"/>
    <w:rsid w:val="3FCB61A3"/>
    <w:rsid w:val="49AA790C"/>
    <w:rsid w:val="49F66A21"/>
    <w:rsid w:val="55325C4C"/>
    <w:rsid w:val="553501BD"/>
    <w:rsid w:val="5E273A84"/>
    <w:rsid w:val="5E913896"/>
    <w:rsid w:val="5FF258F7"/>
    <w:rsid w:val="619C4F10"/>
    <w:rsid w:val="623D5441"/>
    <w:rsid w:val="6583505D"/>
    <w:rsid w:val="65F6778A"/>
    <w:rsid w:val="6B393B59"/>
    <w:rsid w:val="6D84198C"/>
    <w:rsid w:val="7DFB4B21"/>
    <w:rsid w:val="7FCE620F"/>
    <w:rsid w:val="8ABF3CA9"/>
    <w:rsid w:val="99AF2B54"/>
    <w:rsid w:val="A937ABCB"/>
    <w:rsid w:val="CE6B3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1">
    <w:name w:val="页眉 Char"/>
    <w:basedOn w:val="7"/>
    <w:link w:val="5"/>
    <w:qFormat/>
    <w:uiPriority w:val="0"/>
    <w:rPr>
      <w:rFonts w:asciiTheme="minorHAnsi" w:hAnsiTheme="minorHAnsi" w:eastAsiaTheme="minorEastAsia" w:cstheme="minorBidi"/>
      <w:kern w:val="2"/>
      <w:sz w:val="18"/>
      <w:szCs w:val="18"/>
    </w:rPr>
  </w:style>
  <w:style w:type="character" w:customStyle="1" w:styleId="12">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6</Pages>
  <Words>834</Words>
  <Characters>4755</Characters>
  <Lines>39</Lines>
  <Paragraphs>11</Paragraphs>
  <TotalTime>6</TotalTime>
  <ScaleCrop>false</ScaleCrop>
  <LinksUpToDate>false</LinksUpToDate>
  <CharactersWithSpaces>5578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2023-10-16T11:24:00Z</dcterms:created>
  <dc:creator>笔尖的华尔兹</dc:creator>
  <cp:lastModifiedBy>晚风</cp:lastModifiedBy>
  <cp:lastPrinted>2023-10-13T15:33:00Z</cp:lastPrinted>
  <dcterms:modified xsi:type="dcterms:W3CDTF">2023-10-23T15:44:29Z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0250ABA182C243259EFD2B0D7D711AEC_13</vt:lpwstr>
  </property>
</Properties>
</file>